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1BCD" w14:textId="77777777" w:rsidR="00D51274" w:rsidRDefault="00D51274" w:rsidP="00D51274">
      <w:r>
        <w:t>SP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51274" w:rsidRPr="00D51274" w14:paraId="2272E105" w14:textId="77777777" w:rsidTr="002F7477">
        <w:tc>
          <w:tcPr>
            <w:tcW w:w="4531" w:type="dxa"/>
          </w:tcPr>
          <w:p w14:paraId="6447ABEC" w14:textId="77777777" w:rsidR="00D51274" w:rsidRPr="00D51274" w:rsidRDefault="00D51274" w:rsidP="00D51274">
            <w:pPr>
              <w:rPr>
                <w:rFonts w:ascii="Aptos" w:eastAsia="Aptos" w:hAnsi="Aptos" w:cs="Calibri"/>
                <w:color w:val="000000"/>
              </w:rPr>
            </w:pPr>
            <w:r w:rsidRPr="00D51274">
              <w:rPr>
                <w:rFonts w:ascii="Aptos" w:eastAsia="Aptos" w:hAnsi="Aptos" w:cs="Calibri"/>
                <w:color w:val="000000"/>
              </w:rPr>
              <w:t>Zajęcia Logopedyczne - Pakiet Ekspert</w:t>
            </w:r>
          </w:p>
          <w:p w14:paraId="2C9B6736" w14:textId="77777777" w:rsidR="00D51274" w:rsidRPr="00D51274" w:rsidRDefault="00D51274" w:rsidP="00D51274">
            <w:pPr>
              <w:rPr>
                <w:rFonts w:ascii="Aptos" w:eastAsia="Aptos" w:hAnsi="Aptos" w:cs="Times New Roman"/>
              </w:rPr>
            </w:pPr>
          </w:p>
        </w:tc>
        <w:tc>
          <w:tcPr>
            <w:tcW w:w="4531" w:type="dxa"/>
            <w:vAlign w:val="center"/>
          </w:tcPr>
          <w:p w14:paraId="60D33A5D" w14:textId="77777777" w:rsidR="00D51274" w:rsidRPr="00D51274" w:rsidRDefault="00D51274" w:rsidP="00D51274">
            <w:pPr>
              <w:rPr>
                <w:rFonts w:ascii="Aptos" w:eastAsia="Aptos" w:hAnsi="Aptos" w:cs="Times New Roman"/>
              </w:rPr>
            </w:pPr>
            <w:r w:rsidRPr="00D51274">
              <w:rPr>
                <w:rFonts w:ascii="Aptos" w:eastAsia="Aptos" w:hAnsi="Aptos" w:cs="Times New Roman"/>
              </w:rPr>
              <w:t xml:space="preserve">Seria produktów </w:t>
            </w:r>
            <w:proofErr w:type="spellStart"/>
            <w:r w:rsidRPr="00D51274">
              <w:rPr>
                <w:rFonts w:ascii="Aptos" w:eastAsia="Aptos" w:hAnsi="Aptos" w:cs="Times New Roman"/>
              </w:rPr>
              <w:t>mTalent</w:t>
            </w:r>
            <w:proofErr w:type="spellEnd"/>
            <w:r w:rsidRPr="00D51274">
              <w:rPr>
                <w:rFonts w:ascii="Aptos" w:eastAsia="Aptos" w:hAnsi="Aptos" w:cs="Times New Roman"/>
              </w:rPr>
              <w:t xml:space="preserve"> to gotowe narzędzia diagnostyczno-terapeutyczne, zawierające tysiące ćwiczeń multimedialnych dla nauczycieli, terapeutów, pedagogów i logopedów do wykorzystania podczas zajęć dydaktyczno-wyrównawczych, rewalidacyjnych, logopedycznych, korekcyjno- kompensacyjnych z dziećmi w wieku 4-11 lat w normie intelektualnej, lub niezależnie od wieku w przypadku dzieci z niepełnosprawnością intelektualną. Każdy program serii </w:t>
            </w:r>
            <w:proofErr w:type="spellStart"/>
            <w:r w:rsidRPr="00D51274">
              <w:rPr>
                <w:rFonts w:ascii="Aptos" w:eastAsia="Aptos" w:hAnsi="Aptos" w:cs="Times New Roman"/>
              </w:rPr>
              <w:t>mTalent</w:t>
            </w:r>
            <w:proofErr w:type="spellEnd"/>
            <w:r w:rsidRPr="00D51274">
              <w:rPr>
                <w:rFonts w:ascii="Aptos" w:eastAsia="Aptos" w:hAnsi="Aptos" w:cs="Times New Roman"/>
              </w:rPr>
              <w:t>:</w:t>
            </w:r>
            <w:r w:rsidRPr="00D51274">
              <w:rPr>
                <w:rFonts w:ascii="Aptos" w:eastAsia="Aptos" w:hAnsi="Aptos" w:cs="Times New Roman"/>
              </w:rPr>
              <w:br/>
            </w:r>
            <w:r w:rsidRPr="00D51274">
              <w:rPr>
                <w:rFonts w:ascii="Aptos" w:eastAsia="Aptos" w:hAnsi="Aptos" w:cs="Times New Roman"/>
              </w:rPr>
              <w:br/>
              <w:t>- zawiera drukowany podręcznik metodyczny, scenariusze zajęć, zestaw tradycyjnych pomocy dydaktycznych, drukowalnych kart pracy, oraz KURS TWORZENIA MULTIMEDIALNYCH ZASOBÓW EDUKACYJNYCH na tablice i monitory interaktywne, komputery, tablety, w postaci bogato ilustrowanego przykładami podręcznika tworzenia gier i ćwiczeń interaktywnych do wykorzystania w edukacji i terapii. Kurs autorstwa wieloletniego wykładowcy akademickiego, przygotowującego przyszłych nauczycieli i terapeutów do pracy. Możliwość zakończenia kursu certyfikatem imiennym,</w:t>
            </w:r>
            <w:r w:rsidRPr="00D51274">
              <w:rPr>
                <w:rFonts w:ascii="Aptos" w:eastAsia="Aptos" w:hAnsi="Aptos" w:cs="Times New Roman"/>
              </w:rPr>
              <w:br/>
              <w:t xml:space="preserve">- umożliwia pracę z programem zarówno online w dowolnym miejscu i czasie (np. w domu) na każdym dostępnym urządzeniu (komputer, tablet, smartfon, tablica interaktywna, na systemach Windows, Android oraz iOS), jak i offline (bez dostępu do </w:t>
            </w:r>
            <w:proofErr w:type="spellStart"/>
            <w:r w:rsidRPr="00D51274">
              <w:rPr>
                <w:rFonts w:ascii="Aptos" w:eastAsia="Aptos" w:hAnsi="Aptos" w:cs="Times New Roman"/>
              </w:rPr>
              <w:t>internetu</w:t>
            </w:r>
            <w:proofErr w:type="spellEnd"/>
            <w:r w:rsidRPr="00D51274">
              <w:rPr>
                <w:rFonts w:ascii="Aptos" w:eastAsia="Aptos" w:hAnsi="Aptos" w:cs="Times New Roman"/>
              </w:rPr>
              <w:t>) na komputerze, tablecie (np. w szkole, gabinecie),</w:t>
            </w:r>
            <w:r w:rsidRPr="00D51274">
              <w:rPr>
                <w:rFonts w:ascii="Aptos" w:eastAsia="Aptos" w:hAnsi="Aptos" w:cs="Times New Roman"/>
              </w:rPr>
              <w:br/>
              <w:t>- służy do wykorzystania podczas zajęć indywidualnych (np. w gabinecie, w poradni), jak i grupowych (w szkole, przedszkolu) np. przy tablicy lub monitorze interaktywnym,</w:t>
            </w:r>
            <w:r w:rsidRPr="00D51274">
              <w:rPr>
                <w:rFonts w:ascii="Aptos" w:eastAsia="Aptos" w:hAnsi="Aptos" w:cs="Times New Roman"/>
              </w:rPr>
              <w:br/>
              <w:t xml:space="preserve">- wykonany w technologii HTML5, a nie </w:t>
            </w:r>
            <w:proofErr w:type="spellStart"/>
            <w:r w:rsidRPr="00D51274">
              <w:rPr>
                <w:rFonts w:ascii="Aptos" w:eastAsia="Aptos" w:hAnsi="Aptos" w:cs="Times New Roman"/>
              </w:rPr>
              <w:lastRenderedPageBreak/>
              <w:t>flash</w:t>
            </w:r>
            <w:proofErr w:type="spellEnd"/>
            <w:r w:rsidRPr="00D51274">
              <w:rPr>
                <w:rFonts w:ascii="Aptos" w:eastAsia="Aptos" w:hAnsi="Aptos" w:cs="Times New Roman"/>
              </w:rPr>
              <w:t>,</w:t>
            </w:r>
            <w:r w:rsidRPr="00D51274">
              <w:rPr>
                <w:rFonts w:ascii="Aptos" w:eastAsia="Aptos" w:hAnsi="Aptos" w:cs="Times New Roman"/>
              </w:rPr>
              <w:br/>
              <w:t>- jest opracowany przez najlepszych specjalistów w swojej dziedzinie, mających doświadczenie zarówno w pracy z dziećmi, jak i technologii na usługach terapii, a także tworzeniu (rozpoznawalnych na rynku) produktów wspierających diagnozę i proces terapeutyczny,</w:t>
            </w:r>
            <w:r w:rsidRPr="00D51274">
              <w:rPr>
                <w:rFonts w:ascii="Aptos" w:eastAsia="Aptos" w:hAnsi="Aptos" w:cs="Times New Roman"/>
              </w:rPr>
              <w:br/>
              <w:t xml:space="preserve">- zapewnia zgodność z zasadami dostępności - łatwiejsza obsługa oprogramowania przez osoby z niepełnosprawnościami - właściciel marki </w:t>
            </w:r>
            <w:proofErr w:type="spellStart"/>
            <w:r w:rsidRPr="00D51274">
              <w:rPr>
                <w:rFonts w:ascii="Aptos" w:eastAsia="Aptos" w:hAnsi="Aptos" w:cs="Times New Roman"/>
              </w:rPr>
              <w:t>mTalent</w:t>
            </w:r>
            <w:proofErr w:type="spellEnd"/>
            <w:r w:rsidRPr="00D51274">
              <w:rPr>
                <w:rFonts w:ascii="Aptos" w:eastAsia="Aptos" w:hAnsi="Aptos" w:cs="Times New Roman"/>
              </w:rPr>
              <w:t xml:space="preserve"> (</w:t>
            </w:r>
            <w:proofErr w:type="spellStart"/>
            <w:r w:rsidRPr="00D51274">
              <w:rPr>
                <w:rFonts w:ascii="Aptos" w:eastAsia="Aptos" w:hAnsi="Aptos" w:cs="Times New Roman"/>
              </w:rPr>
              <w:t>Learnetic</w:t>
            </w:r>
            <w:proofErr w:type="spellEnd"/>
            <w:r w:rsidRPr="00D51274">
              <w:rPr>
                <w:rFonts w:ascii="Aptos" w:eastAsia="Aptos" w:hAnsi="Aptos" w:cs="Times New Roman"/>
              </w:rPr>
              <w:t xml:space="preserve"> SA) jest również pierwszym w Polsce (z ramienia firm prywatnych) sygnatariuszem ogólnopolskiego projektu dotyczącego dostępności,</w:t>
            </w:r>
            <w:r w:rsidRPr="00D51274">
              <w:rPr>
                <w:rFonts w:ascii="Aptos" w:eastAsia="Aptos" w:hAnsi="Aptos" w:cs="Times New Roman"/>
              </w:rPr>
              <w:br/>
              <w:t>- umożliwia m.in. monitoring postępów podopiecznych, oraz zbieranie informacji szczegółowych np. na temat tego, z jakimi elementami mieli problemy.</w:t>
            </w:r>
          </w:p>
        </w:tc>
      </w:tr>
      <w:tr w:rsidR="00D51274" w:rsidRPr="00BD14F4" w14:paraId="21F31990" w14:textId="77777777" w:rsidTr="002F7477">
        <w:tc>
          <w:tcPr>
            <w:tcW w:w="4531" w:type="dxa"/>
          </w:tcPr>
          <w:p w14:paraId="488E00BE" w14:textId="77777777" w:rsidR="00D51274" w:rsidRPr="00BD14F4" w:rsidRDefault="00D51274" w:rsidP="002F7477">
            <w:pPr>
              <w:rPr>
                <w:rFonts w:cs="Calibri"/>
                <w:color w:val="000000"/>
              </w:rPr>
            </w:pPr>
            <w:r w:rsidRPr="00BD14F4">
              <w:rPr>
                <w:rFonts w:cs="Calibri"/>
                <w:color w:val="000000"/>
              </w:rPr>
              <w:lastRenderedPageBreak/>
              <w:t>Program multimedialny do nauki czytania</w:t>
            </w:r>
          </w:p>
          <w:p w14:paraId="0ABF563D" w14:textId="77777777" w:rsidR="00D51274" w:rsidRPr="00BD14F4" w:rsidRDefault="00D51274" w:rsidP="002F7477"/>
        </w:tc>
        <w:tc>
          <w:tcPr>
            <w:tcW w:w="4531" w:type="dxa"/>
          </w:tcPr>
          <w:p w14:paraId="695C1423" w14:textId="77777777" w:rsidR="00D51274" w:rsidRPr="00BD14F4" w:rsidRDefault="00D51274" w:rsidP="002F7477">
            <w:r w:rsidRPr="00BD14F4">
              <w:t>Program multimedialny</w:t>
            </w:r>
          </w:p>
          <w:p w14:paraId="0C7D627A" w14:textId="77777777" w:rsidR="00D51274" w:rsidRPr="00BD14F4" w:rsidRDefault="00D51274" w:rsidP="002F7477">
            <w:r w:rsidRPr="00BD14F4">
              <w:t>•</w:t>
            </w:r>
            <w:r w:rsidRPr="00BD14F4">
              <w:tab/>
              <w:t xml:space="preserve">Pakiet dwóch programów zawierający zestaw multimedialnych ćwiczeń do nauki czytania opartych na zbiorze sylab otwartych oraz ćwiczeń inspirowanych metodą 18 struktur wyrazowych. </w:t>
            </w:r>
          </w:p>
          <w:p w14:paraId="41379B0B" w14:textId="77777777" w:rsidR="00D51274" w:rsidRPr="00BD14F4" w:rsidRDefault="00D51274" w:rsidP="002F7477">
            <w:r w:rsidRPr="00BD14F4">
              <w:t>•</w:t>
            </w:r>
            <w:r w:rsidRPr="00BD14F4">
              <w:tab/>
              <w:t xml:space="preserve">Rozwija słownictwo, uczy wyrażać myśli i rozumieć sposoby mówienia innych ludzi. </w:t>
            </w:r>
          </w:p>
          <w:p w14:paraId="0D43BBBB" w14:textId="77777777" w:rsidR="00D51274" w:rsidRPr="00BD14F4" w:rsidRDefault="00D51274" w:rsidP="002F7477">
            <w:r w:rsidRPr="00BD14F4">
              <w:t>•</w:t>
            </w:r>
            <w:r w:rsidRPr="00BD14F4">
              <w:tab/>
              <w:t xml:space="preserve">Blisko 1100 ekranów interaktywnych, więcej niż 200 kart pracy, przewodniki metodyczne oraz zestaw materiałów dodatkowych w jednym pudełku. </w:t>
            </w:r>
          </w:p>
          <w:p w14:paraId="7A85BA64" w14:textId="77777777" w:rsidR="00D51274" w:rsidRPr="00BD14F4" w:rsidRDefault="00D51274" w:rsidP="002F7477">
            <w:r w:rsidRPr="00BD14F4">
              <w:t>•</w:t>
            </w:r>
            <w:r w:rsidRPr="00BD14F4">
              <w:tab/>
              <w:t>wzrastający poziom trudności – od ćwiczeń najprostszych (np. Znajdź sylabę...) do wielopłaszczyznowych (np. sylaby i kodowanie, szyfrogramy),</w:t>
            </w:r>
          </w:p>
          <w:p w14:paraId="774C76C6" w14:textId="77777777" w:rsidR="00D51274" w:rsidRPr="00BD14F4" w:rsidRDefault="00D51274" w:rsidP="002F7477">
            <w:r w:rsidRPr="00BD14F4">
              <w:t xml:space="preserve">● materiał z kilkustopniowym systemem motywacyjnym, </w:t>
            </w:r>
          </w:p>
          <w:p w14:paraId="4B759239" w14:textId="77777777" w:rsidR="00D51274" w:rsidRPr="00BD14F4" w:rsidRDefault="00D51274" w:rsidP="002F7477">
            <w:r w:rsidRPr="00BD14F4">
              <w:t>•</w:t>
            </w:r>
            <w:r w:rsidRPr="00BD14F4">
              <w:tab/>
              <w:t xml:space="preserve">Licencja bezterminowa na 9 stanowisk (3 online i 6 offline). </w:t>
            </w:r>
          </w:p>
          <w:p w14:paraId="78777E21" w14:textId="77777777" w:rsidR="00D51274" w:rsidRPr="00BD14F4" w:rsidRDefault="00D51274" w:rsidP="002F7477">
            <w:r w:rsidRPr="00BD14F4">
              <w:t>•</w:t>
            </w:r>
            <w:r w:rsidRPr="00BD14F4">
              <w:tab/>
              <w:t xml:space="preserve">Do poprawnego działania zasobów edukacyjnych konieczne jest korzystanie z </w:t>
            </w:r>
            <w:r w:rsidRPr="00BD14F4">
              <w:lastRenderedPageBreak/>
              <w:t>poniższych przeglądarek i systemów operacyjnych.</w:t>
            </w:r>
          </w:p>
          <w:p w14:paraId="1B2EA7A2" w14:textId="77777777" w:rsidR="00D51274" w:rsidRPr="00BD14F4" w:rsidRDefault="00D51274" w:rsidP="002F7477">
            <w:r w:rsidRPr="00BD14F4">
              <w:t>Przeglądarki internetowe:</w:t>
            </w:r>
          </w:p>
          <w:p w14:paraId="67E1BE34" w14:textId="77777777" w:rsidR="00D51274" w:rsidRPr="00BD14F4" w:rsidRDefault="00D51274" w:rsidP="002F7477">
            <w:r w:rsidRPr="00BD14F4">
              <w:t>• Google Chrome – od wersji 70 i wyższe</w:t>
            </w:r>
          </w:p>
          <w:p w14:paraId="5A4AAE40" w14:textId="77777777" w:rsidR="00D51274" w:rsidRPr="00BD14F4" w:rsidRDefault="00D51274" w:rsidP="002F7477">
            <w:r w:rsidRPr="00BD14F4">
              <w:t xml:space="preserve">• Mozilla </w:t>
            </w:r>
            <w:proofErr w:type="spellStart"/>
            <w:r w:rsidRPr="00BD14F4">
              <w:t>Firefox</w:t>
            </w:r>
            <w:proofErr w:type="spellEnd"/>
            <w:r w:rsidRPr="00BD14F4">
              <w:t xml:space="preserve"> – od wersji 50 i wyższe </w:t>
            </w:r>
          </w:p>
          <w:p w14:paraId="7E0BB386" w14:textId="77777777" w:rsidR="00D51274" w:rsidRPr="00BD14F4" w:rsidRDefault="00D51274" w:rsidP="002F7477">
            <w:r w:rsidRPr="00BD14F4">
              <w:t>•</w:t>
            </w:r>
            <w:r w:rsidRPr="00BD14F4">
              <w:tab/>
              <w:t xml:space="preserve">System </w:t>
            </w:r>
            <w:proofErr w:type="gramStart"/>
            <w:r w:rsidRPr="00BD14F4">
              <w:t>operacyjny  Microsoft</w:t>
            </w:r>
            <w:proofErr w:type="gramEnd"/>
            <w:r w:rsidRPr="00BD14F4">
              <w:t xml:space="preserve"> Windows – wersje 8, 8.1, 10, 11 i wyższe (Chrome, </w:t>
            </w:r>
            <w:proofErr w:type="spellStart"/>
            <w:r w:rsidRPr="00BD14F4">
              <w:t>Firefox</w:t>
            </w:r>
            <w:proofErr w:type="spellEnd"/>
            <w:r w:rsidRPr="00BD14F4">
              <w:t>, Edge)</w:t>
            </w:r>
          </w:p>
        </w:tc>
      </w:tr>
      <w:tr w:rsidR="00D51274" w:rsidRPr="00BD14F4" w14:paraId="39382217" w14:textId="77777777" w:rsidTr="002F7477">
        <w:tc>
          <w:tcPr>
            <w:tcW w:w="4531" w:type="dxa"/>
          </w:tcPr>
          <w:p w14:paraId="5BBF875D" w14:textId="77777777" w:rsidR="00D51274" w:rsidRPr="00BD14F4" w:rsidRDefault="00D51274" w:rsidP="002F7477">
            <w:pPr>
              <w:rPr>
                <w:rFonts w:cs="Calibri"/>
                <w:color w:val="000000"/>
              </w:rPr>
            </w:pPr>
            <w:r w:rsidRPr="00BD14F4">
              <w:rPr>
                <w:rFonts w:cs="Calibri"/>
                <w:color w:val="000000"/>
              </w:rPr>
              <w:lastRenderedPageBreak/>
              <w:t>Pakiet multimedialny do rozwijania koncentracji uwagi i pamięci</w:t>
            </w:r>
          </w:p>
          <w:p w14:paraId="5DB8F225" w14:textId="77777777" w:rsidR="00D51274" w:rsidRPr="00BD14F4" w:rsidRDefault="00D51274" w:rsidP="002F7477"/>
        </w:tc>
        <w:tc>
          <w:tcPr>
            <w:tcW w:w="4531" w:type="dxa"/>
          </w:tcPr>
          <w:p w14:paraId="1B2E5CD8" w14:textId="77777777" w:rsidR="00D51274" w:rsidRPr="00BD14F4" w:rsidRDefault="00D51274" w:rsidP="002F7477">
            <w:pPr>
              <w:spacing w:line="254" w:lineRule="auto"/>
              <w:rPr>
                <w:rFonts w:cstheme="minorHAnsi"/>
              </w:rPr>
            </w:pPr>
            <w:r w:rsidRPr="00BD14F4">
              <w:rPr>
                <w:rFonts w:cstheme="minorHAnsi"/>
                <w:color w:val="000000"/>
              </w:rPr>
              <w:t>Program multimedialny</w:t>
            </w:r>
          </w:p>
          <w:p w14:paraId="5CAC976B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BD14F4">
              <w:rPr>
                <w:rFonts w:cstheme="minorHAnsi"/>
                <w:color w:val="000000"/>
                <w:sz w:val="24"/>
                <w:szCs w:val="24"/>
              </w:rPr>
              <w:t>Zestaw interaktywnych ćwiczeń stymulujących funkcje poznawcze, a także</w:t>
            </w:r>
            <w:r w:rsidRPr="00BD14F4">
              <w:rPr>
                <w:rFonts w:cstheme="minorHAnsi"/>
                <w:color w:val="000000"/>
                <w:sz w:val="24"/>
                <w:szCs w:val="24"/>
              </w:rPr>
              <w:br/>
              <w:t xml:space="preserve">usprawniających spostrzeganie, pamięć i koncentrację uwagi </w:t>
            </w:r>
          </w:p>
          <w:p w14:paraId="6439D29D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BD14F4">
              <w:rPr>
                <w:rStyle w:val="Mocnewyrnione"/>
                <w:rFonts w:cstheme="minorHAnsi"/>
                <w:color w:val="000000"/>
                <w:sz w:val="24"/>
                <w:szCs w:val="24"/>
              </w:rPr>
              <w:t>Materiał podzielony na dwa obszary trudności</w:t>
            </w:r>
            <w:r w:rsidRPr="00BD14F4">
              <w:rPr>
                <w:rFonts w:cstheme="minorHAnsi"/>
                <w:color w:val="000000"/>
                <w:sz w:val="24"/>
                <w:szCs w:val="24"/>
              </w:rPr>
              <w:t>, z osobnymi ćwiczeniami dostosowanymi do potrzeb </w:t>
            </w:r>
            <w:r w:rsidRPr="00BD14F4">
              <w:rPr>
                <w:rStyle w:val="Mocnewyrnione"/>
                <w:rFonts w:cstheme="minorHAnsi"/>
                <w:color w:val="000000"/>
                <w:sz w:val="24"/>
                <w:szCs w:val="24"/>
              </w:rPr>
              <w:t>dzieci oraz starszych uczniów i młodzieży</w:t>
            </w:r>
            <w:r w:rsidRPr="00BD14F4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1951BCB6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BD14F4">
              <w:rPr>
                <w:rStyle w:val="Mocnewyrnione"/>
                <w:rFonts w:cstheme="minorHAnsi"/>
                <w:color w:val="000000"/>
                <w:sz w:val="24"/>
                <w:szCs w:val="24"/>
              </w:rPr>
              <w:t>Profesjonalnie przygotowane ćwiczenia</w:t>
            </w:r>
            <w:r w:rsidRPr="00BD14F4">
              <w:rPr>
                <w:rFonts w:cstheme="minorHAnsi"/>
                <w:color w:val="000000"/>
                <w:sz w:val="24"/>
                <w:szCs w:val="24"/>
              </w:rPr>
              <w:t> z zakresu </w:t>
            </w:r>
            <w:r w:rsidRPr="00BD14F4">
              <w:rPr>
                <w:rStyle w:val="Mocnewyrnione"/>
                <w:rFonts w:cstheme="minorHAnsi"/>
                <w:color w:val="000000"/>
                <w:sz w:val="24"/>
                <w:szCs w:val="24"/>
              </w:rPr>
              <w:t>pamięci (roboczej, operacyjnej, wzrokowej, słuchowej), koncentracji uwagi (podzielności, selektywności, trwałości, przerzutności)</w:t>
            </w:r>
            <w:r w:rsidRPr="00BD14F4">
              <w:rPr>
                <w:rFonts w:cstheme="minorHAnsi"/>
                <w:color w:val="000000"/>
                <w:sz w:val="24"/>
                <w:szCs w:val="24"/>
              </w:rPr>
              <w:t xml:space="preserve">, a także innych obszarów funkcji wykonawczych i elementów relaksacji </w:t>
            </w:r>
          </w:p>
          <w:p w14:paraId="6FC14644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254" w:lineRule="auto"/>
              <w:rPr>
                <w:rFonts w:cstheme="minorHAnsi"/>
                <w:sz w:val="24"/>
                <w:szCs w:val="24"/>
              </w:rPr>
            </w:pPr>
            <w:r w:rsidRPr="00BD14F4">
              <w:rPr>
                <w:rFonts w:cstheme="minorHAnsi"/>
                <w:color w:val="000000"/>
                <w:sz w:val="24"/>
                <w:szCs w:val="24"/>
              </w:rPr>
              <w:t xml:space="preserve">Działa na każdym dowolnym urządzeniu </w:t>
            </w:r>
            <w:proofErr w:type="spellStart"/>
            <w:r w:rsidRPr="00BD14F4">
              <w:rPr>
                <w:rFonts w:cstheme="minorHAnsi"/>
                <w:color w:val="000000"/>
                <w:sz w:val="24"/>
                <w:szCs w:val="24"/>
              </w:rPr>
              <w:t>urządzeniu</w:t>
            </w:r>
            <w:proofErr w:type="spellEnd"/>
            <w:r w:rsidRPr="00BD14F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14F4">
              <w:rPr>
                <w:rFonts w:cstheme="minorHAnsi"/>
                <w:color w:val="000000"/>
                <w:sz w:val="24"/>
                <w:szCs w:val="24"/>
              </w:rPr>
              <w:t>multimedialnym ,</w:t>
            </w:r>
            <w:proofErr w:type="gramEnd"/>
            <w:r w:rsidRPr="00BD14F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BD14F4">
              <w:rPr>
                <w:color w:val="000000"/>
                <w:sz w:val="24"/>
                <w:szCs w:val="24"/>
              </w:rPr>
              <w:t xml:space="preserve">bezterminową licencją </w:t>
            </w:r>
          </w:p>
          <w:p w14:paraId="64B188BA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254" w:lineRule="auto"/>
              <w:ind w:firstLine="0"/>
              <w:rPr>
                <w:rFonts w:cstheme="minorHAnsi"/>
                <w:sz w:val="24"/>
                <w:szCs w:val="24"/>
              </w:rPr>
            </w:pPr>
            <w:r w:rsidRPr="00BD14F4">
              <w:rPr>
                <w:rFonts w:cstheme="minorHAnsi"/>
                <w:color w:val="000000"/>
                <w:sz w:val="24"/>
                <w:szCs w:val="24"/>
              </w:rPr>
              <w:t>liczba licencji: 4 stanowiska</w:t>
            </w:r>
          </w:p>
          <w:p w14:paraId="09D72250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315" w:lineRule="atLeast"/>
              <w:rPr>
                <w:rFonts w:cstheme="minorHAnsi"/>
                <w:sz w:val="24"/>
                <w:szCs w:val="24"/>
              </w:rPr>
            </w:pPr>
            <w:r w:rsidRPr="00BD14F4">
              <w:rPr>
                <w:color w:val="000000"/>
                <w:sz w:val="24"/>
                <w:szCs w:val="24"/>
              </w:rPr>
              <w:t xml:space="preserve">on-line: 2 (logowanie na każdym urządzeniu z dostępem do </w:t>
            </w:r>
            <w:proofErr w:type="spellStart"/>
            <w:r w:rsidRPr="00BD14F4">
              <w:rPr>
                <w:color w:val="000000"/>
                <w:sz w:val="24"/>
                <w:szCs w:val="24"/>
              </w:rPr>
              <w:t>internetu</w:t>
            </w:r>
            <w:proofErr w:type="spellEnd"/>
            <w:r w:rsidRPr="00BD14F4">
              <w:rPr>
                <w:color w:val="000000"/>
                <w:sz w:val="24"/>
                <w:szCs w:val="24"/>
              </w:rPr>
              <w:t xml:space="preserve"> przy pomocy loginu i hasła)</w:t>
            </w:r>
          </w:p>
          <w:p w14:paraId="1D4C0944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315" w:lineRule="atLeast"/>
              <w:rPr>
                <w:rFonts w:cstheme="minorHAnsi"/>
                <w:sz w:val="24"/>
                <w:szCs w:val="24"/>
              </w:rPr>
            </w:pPr>
            <w:r w:rsidRPr="00BD14F4">
              <w:rPr>
                <w:color w:val="000000"/>
                <w:sz w:val="24"/>
                <w:szCs w:val="24"/>
              </w:rPr>
              <w:t>off-</w:t>
            </w:r>
            <w:proofErr w:type="spellStart"/>
            <w:r w:rsidRPr="00BD14F4">
              <w:rPr>
                <w:color w:val="000000"/>
                <w:sz w:val="24"/>
                <w:szCs w:val="24"/>
              </w:rPr>
              <w:t>line</w:t>
            </w:r>
            <w:proofErr w:type="spellEnd"/>
            <w:r w:rsidRPr="00BD14F4">
              <w:rPr>
                <w:color w:val="000000"/>
                <w:sz w:val="24"/>
                <w:szCs w:val="24"/>
              </w:rPr>
              <w:t xml:space="preserve">: 2 (możliwość pobrania zasobów za pomocą aplikacji </w:t>
            </w:r>
            <w:proofErr w:type="spellStart"/>
            <w:r w:rsidRPr="00BD14F4">
              <w:rPr>
                <w:color w:val="000000"/>
                <w:sz w:val="24"/>
                <w:szCs w:val="24"/>
              </w:rPr>
              <w:t>mLibro</w:t>
            </w:r>
            <w:proofErr w:type="spellEnd"/>
            <w:r w:rsidRPr="00BD14F4">
              <w:rPr>
                <w:color w:val="000000"/>
                <w:sz w:val="24"/>
                <w:szCs w:val="24"/>
              </w:rPr>
              <w:t xml:space="preserve"> na dwa </w:t>
            </w:r>
            <w:proofErr w:type="gramStart"/>
            <w:r w:rsidRPr="00BD14F4">
              <w:rPr>
                <w:color w:val="000000"/>
                <w:sz w:val="24"/>
                <w:szCs w:val="24"/>
              </w:rPr>
              <w:lastRenderedPageBreak/>
              <w:t>urządzenia  następnie</w:t>
            </w:r>
            <w:proofErr w:type="gramEnd"/>
            <w:r w:rsidRPr="00BD14F4">
              <w:rPr>
                <w:color w:val="000000"/>
                <w:sz w:val="24"/>
                <w:szCs w:val="24"/>
              </w:rPr>
              <w:t xml:space="preserve"> praca bez dostępu do </w:t>
            </w:r>
            <w:proofErr w:type="spellStart"/>
            <w:r w:rsidRPr="00BD14F4">
              <w:rPr>
                <w:color w:val="000000"/>
                <w:sz w:val="24"/>
                <w:szCs w:val="24"/>
              </w:rPr>
              <w:t>internetu</w:t>
            </w:r>
            <w:proofErr w:type="spellEnd"/>
            <w:r w:rsidRPr="00BD14F4">
              <w:rPr>
                <w:color w:val="000000"/>
                <w:sz w:val="24"/>
                <w:szCs w:val="24"/>
              </w:rPr>
              <w:t>)</w:t>
            </w:r>
          </w:p>
          <w:p w14:paraId="090C4402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315" w:lineRule="atLeast"/>
              <w:rPr>
                <w:rFonts w:cstheme="minorHAnsi"/>
                <w:sz w:val="24"/>
                <w:szCs w:val="24"/>
              </w:rPr>
            </w:pPr>
            <w:r w:rsidRPr="00BD14F4">
              <w:rPr>
                <w:color w:val="000000"/>
                <w:sz w:val="24"/>
                <w:szCs w:val="24"/>
              </w:rPr>
              <w:t>czas trwania licencji: bezterminowa</w:t>
            </w:r>
          </w:p>
          <w:p w14:paraId="3699AD16" w14:textId="77777777" w:rsidR="00D51274" w:rsidRPr="00BD14F4" w:rsidRDefault="00D51274" w:rsidP="002F7477">
            <w:pPr>
              <w:pStyle w:val="Tekstpodstawowy"/>
              <w:numPr>
                <w:ilvl w:val="0"/>
                <w:numId w:val="1"/>
              </w:numPr>
              <w:spacing w:line="315" w:lineRule="atLeast"/>
              <w:rPr>
                <w:rFonts w:cstheme="minorHAnsi"/>
                <w:sz w:val="24"/>
                <w:szCs w:val="24"/>
              </w:rPr>
            </w:pPr>
            <w:r w:rsidRPr="00BD14F4">
              <w:rPr>
                <w:color w:val="000000"/>
                <w:sz w:val="24"/>
                <w:szCs w:val="24"/>
              </w:rPr>
              <w:t>wiek uczniów: 5</w:t>
            </w:r>
            <w:proofErr w:type="gramStart"/>
            <w:r w:rsidRPr="00BD14F4">
              <w:rPr>
                <w:color w:val="000000"/>
                <w:sz w:val="24"/>
                <w:szCs w:val="24"/>
              </w:rPr>
              <w:t>+ ,</w:t>
            </w:r>
            <w:proofErr w:type="gramEnd"/>
            <w:r w:rsidRPr="00BD14F4">
              <w:rPr>
                <w:color w:val="000000"/>
                <w:sz w:val="24"/>
                <w:szCs w:val="24"/>
              </w:rPr>
              <w:t xml:space="preserve">  11+ uczeń starszy (klasy 1-8)</w:t>
            </w:r>
          </w:p>
          <w:p w14:paraId="4091ECD9" w14:textId="77777777" w:rsidR="00D51274" w:rsidRPr="00BD14F4" w:rsidRDefault="00D51274" w:rsidP="002F7477"/>
        </w:tc>
      </w:tr>
    </w:tbl>
    <w:p w14:paraId="3B087B7B" w14:textId="6B8B0648" w:rsidR="00D51274" w:rsidRDefault="00D51274">
      <w:r w:rsidRPr="00D51274">
        <w:rPr>
          <w:noProof/>
        </w:rPr>
        <w:lastRenderedPageBreak/>
        <w:drawing>
          <wp:inline distT="0" distB="0" distL="0" distR="0" wp14:anchorId="6EC63FED" wp14:editId="7EF67B27">
            <wp:extent cx="5793740" cy="2518796"/>
            <wp:effectExtent l="0" t="0" r="0" b="0"/>
            <wp:docPr id="2837633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313" cy="2520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1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F1ECE"/>
    <w:multiLevelType w:val="multilevel"/>
    <w:tmpl w:val="DFA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2143956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274"/>
    <w:rsid w:val="00204C9E"/>
    <w:rsid w:val="00322345"/>
    <w:rsid w:val="00391352"/>
    <w:rsid w:val="004C4DFE"/>
    <w:rsid w:val="00971C11"/>
    <w:rsid w:val="00B66932"/>
    <w:rsid w:val="00D51274"/>
    <w:rsid w:val="00D61312"/>
    <w:rsid w:val="00ED0C89"/>
    <w:rsid w:val="00EF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8EC9"/>
  <w15:chartTrackingRefBased/>
  <w15:docId w15:val="{BC707FE6-02CD-4C62-A9E3-E95B8DF5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12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2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2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2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2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2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2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2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2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2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2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2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2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2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2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2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2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2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2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2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2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2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2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2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2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2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2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27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51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cnewyrnione">
    <w:name w:val="Mocne wyróżnione"/>
    <w:qFormat/>
    <w:rsid w:val="00D51274"/>
    <w:rPr>
      <w:b/>
      <w:bCs/>
    </w:rPr>
  </w:style>
  <w:style w:type="paragraph" w:styleId="Tekstpodstawowy">
    <w:name w:val="Body Text"/>
    <w:basedOn w:val="Normalny"/>
    <w:link w:val="TekstpodstawowyZnak"/>
    <w:rsid w:val="00D51274"/>
    <w:pPr>
      <w:suppressAutoHyphens/>
      <w:spacing w:after="140" w:line="276" w:lineRule="auto"/>
    </w:pPr>
    <w:rPr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D5127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620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Wilińska</dc:creator>
  <cp:keywords/>
  <dc:description/>
  <cp:lastModifiedBy>Renata Wilińska</cp:lastModifiedBy>
  <cp:revision>4</cp:revision>
  <cp:lastPrinted>2026-04-29T09:59:00Z</cp:lastPrinted>
  <dcterms:created xsi:type="dcterms:W3CDTF">2026-04-29T08:53:00Z</dcterms:created>
  <dcterms:modified xsi:type="dcterms:W3CDTF">2026-04-29T10:01:00Z</dcterms:modified>
</cp:coreProperties>
</file>